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1137" w14:textId="22B4D78A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color w:val="58595B"/>
          <w:sz w:val="21"/>
          <w:szCs w:val="21"/>
        </w:rPr>
      </w:pPr>
      <w:r>
        <w:rPr>
          <w:rFonts w:ascii="Corbel-Italic" w:hAnsi="Corbel-Italic" w:cs="Corbel-Italic"/>
          <w:color w:val="58595B"/>
          <w:sz w:val="21"/>
          <w:szCs w:val="21"/>
        </w:rPr>
        <w:t>EXAMPLE PITCH TO MEDIA:</w:t>
      </w:r>
    </w:p>
    <w:p w14:paraId="0EBD950A" w14:textId="77777777" w:rsidR="00026DB6" w:rsidRP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color w:val="58595B"/>
          <w:sz w:val="21"/>
          <w:szCs w:val="21"/>
        </w:rPr>
      </w:pPr>
    </w:p>
    <w:p w14:paraId="0F6F713D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</w:p>
    <w:p w14:paraId="758B7785" w14:textId="22115ED2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Good morning</w:t>
      </w:r>
    </w:p>
    <w:p w14:paraId="33FF32A1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</w:p>
    <w:p w14:paraId="0275300B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We are a community legal centre based in Melbourne, that provides advice to thousands of</w:t>
      </w:r>
    </w:p>
    <w:p w14:paraId="64C0B9E3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Victorians every year on consumer law and finance issues. We regularly see the impact of</w:t>
      </w:r>
    </w:p>
    <w:p w14:paraId="50A81388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irresponsible lending practices by the banks in our work, which was also an issue highlighted</w:t>
      </w:r>
    </w:p>
    <w:p w14:paraId="5B021F9F" w14:textId="60461E8E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by the Banking Royal Commission.</w:t>
      </w:r>
    </w:p>
    <w:p w14:paraId="7D0F2624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</w:p>
    <w:p w14:paraId="7B840115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We are dismayed at the Treasurer’s announcement that he intends to axe consumer protections</w:t>
      </w:r>
    </w:p>
    <w:p w14:paraId="122A792B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in our lending laws only 18 months after the Banking Royal Commission Final Report</w:t>
      </w:r>
    </w:p>
    <w:p w14:paraId="027727E3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was handed down. It is a recipe for disaster to let banks return to the Wild West of lending in</w:t>
      </w:r>
    </w:p>
    <w:p w14:paraId="3041EAF6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the middle of a recession.</w:t>
      </w:r>
    </w:p>
    <w:p w14:paraId="673571A0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</w:p>
    <w:p w14:paraId="6BDF9B62" w14:textId="49373D3F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I am a solicitor at X, and would be happy to speak with you further about the proposals and</w:t>
      </w:r>
    </w:p>
    <w:p w14:paraId="7C590266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how it will impact Victorians, and what we see in our work. We can also arrange for a client to</w:t>
      </w:r>
    </w:p>
    <w:p w14:paraId="7DBDF05F" w14:textId="77777777" w:rsidR="00026DB6" w:rsidRDefault="00026DB6" w:rsidP="00026DB6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58595B"/>
          <w:sz w:val="21"/>
          <w:szCs w:val="21"/>
        </w:rPr>
      </w:pPr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share their story with you.</w:t>
      </w:r>
    </w:p>
    <w:p w14:paraId="3F4F26FA" w14:textId="77777777" w:rsidR="00026DB6" w:rsidRDefault="00026DB6" w:rsidP="00026DB6">
      <w:pPr>
        <w:rPr>
          <w:rFonts w:ascii="Corbel-Italic" w:hAnsi="Corbel-Italic" w:cs="Corbel-Italic"/>
          <w:i/>
          <w:iCs/>
          <w:color w:val="58595B"/>
          <w:sz w:val="21"/>
          <w:szCs w:val="21"/>
        </w:rPr>
      </w:pPr>
    </w:p>
    <w:p w14:paraId="4F846817" w14:textId="0854FBDE" w:rsidR="00150200" w:rsidRDefault="00026DB6" w:rsidP="00026DB6">
      <w:r>
        <w:rPr>
          <w:rFonts w:ascii="Corbel-Italic" w:hAnsi="Corbel-Italic" w:cs="Corbel-Italic"/>
          <w:i/>
          <w:iCs/>
          <w:color w:val="58595B"/>
          <w:sz w:val="21"/>
          <w:szCs w:val="21"/>
        </w:rPr>
        <w:t>You can call me on X. I look forward to hearing from you.</w:t>
      </w:r>
    </w:p>
    <w:sectPr w:rsidR="00150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B6"/>
    <w:rsid w:val="00026DB6"/>
    <w:rsid w:val="006C3039"/>
    <w:rsid w:val="008B75CE"/>
    <w:rsid w:val="00C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3DCC"/>
  <w15:chartTrackingRefBased/>
  <w15:docId w15:val="{14993C67-A3D5-4A47-98BD-B2F047F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Colquhoun</dc:creator>
  <cp:keywords/>
  <dc:description/>
  <cp:lastModifiedBy>Sheena Colquhoun</cp:lastModifiedBy>
  <cp:revision>1</cp:revision>
  <dcterms:created xsi:type="dcterms:W3CDTF">2020-11-09T04:57:00Z</dcterms:created>
  <dcterms:modified xsi:type="dcterms:W3CDTF">2020-11-09T04:58:00Z</dcterms:modified>
</cp:coreProperties>
</file>